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5519" w14:textId="77777777" w:rsidR="00E02C7F" w:rsidRPr="00764E3C" w:rsidRDefault="002F6CA1" w:rsidP="00E02C7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object w:dxaOrig="1440" w:dyaOrig="1440" w14:anchorId="69DE8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6.75pt;margin-top:-14.8pt;width:50.3pt;height:50.3pt;z-index:251657728;mso-wrap-edited:f;mso-width-percent:0;mso-height-percent:0;mso-width-percent:0;mso-height-percent:0">
            <v:imagedata r:id="rId6" o:title=""/>
          </v:shape>
          <o:OLEObject Type="Embed" ProgID="MSPhotoEd.3" ShapeID="_x0000_s1027" DrawAspect="Content" ObjectID="_1613940288" r:id="rId7"/>
        </w:object>
      </w:r>
      <w:r w:rsidR="00E02C7F">
        <w:rPr>
          <w:rFonts w:ascii="Arial" w:hAnsi="Arial" w:cs="Arial"/>
          <w:sz w:val="16"/>
          <w:szCs w:val="16"/>
        </w:rPr>
        <w:t xml:space="preserve">                 </w:t>
      </w:r>
      <w:r w:rsidR="00E02C7F" w:rsidRPr="00E02C7F">
        <w:rPr>
          <w:rFonts w:ascii="Arial" w:hAnsi="Arial" w:cs="Arial"/>
          <w:sz w:val="16"/>
          <w:szCs w:val="16"/>
        </w:rPr>
        <w:t xml:space="preserve"> </w:t>
      </w:r>
      <w:r w:rsidR="00E02C7F" w:rsidRPr="00764E3C">
        <w:rPr>
          <w:rFonts w:ascii="Arial" w:hAnsi="Arial" w:cs="Arial"/>
          <w:i/>
          <w:sz w:val="16"/>
          <w:szCs w:val="16"/>
        </w:rPr>
        <w:t>Colegio Academia Tarapacá</w:t>
      </w:r>
    </w:p>
    <w:p w14:paraId="0ADE89CF" w14:textId="77777777" w:rsidR="00E02C7F" w:rsidRPr="00764E3C" w:rsidRDefault="00E02C7F" w:rsidP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     Departamento de Historia, Geografía y C. Sociales</w:t>
      </w:r>
    </w:p>
    <w:p w14:paraId="16598911" w14:textId="77777777" w:rsidR="00E2474A" w:rsidRPr="00764E3C" w:rsidRDefault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</w:t>
      </w:r>
      <w:r w:rsidR="00E26040" w:rsidRPr="00764E3C">
        <w:rPr>
          <w:rFonts w:ascii="Arial" w:hAnsi="Arial" w:cs="Arial"/>
          <w:i/>
          <w:sz w:val="16"/>
          <w:szCs w:val="16"/>
        </w:rPr>
        <w:t xml:space="preserve">     Profesora Fabiola Angulo Loyola</w:t>
      </w:r>
    </w:p>
    <w:p w14:paraId="03EC13DE" w14:textId="77777777" w:rsidR="009C1CC2" w:rsidRDefault="009C1CC2" w:rsidP="00793000">
      <w:pPr>
        <w:jc w:val="both"/>
        <w:rPr>
          <w:rFonts w:ascii="Verdana" w:hAnsi="Verdana" w:cs="Arial"/>
          <w:sz w:val="20"/>
          <w:szCs w:val="20"/>
        </w:rPr>
      </w:pPr>
    </w:p>
    <w:p w14:paraId="332CAD3F" w14:textId="7805CBD4" w:rsidR="00B14A0C" w:rsidRPr="00B14A0C" w:rsidRDefault="00B14A0C" w:rsidP="00B14A0C">
      <w:pPr>
        <w:jc w:val="center"/>
        <w:rPr>
          <w:rFonts w:ascii="Verdana" w:hAnsi="Verdana" w:cs="Arial"/>
          <w:b/>
          <w:szCs w:val="20"/>
        </w:rPr>
      </w:pPr>
      <w:r w:rsidRPr="00B14A0C">
        <w:rPr>
          <w:rFonts w:ascii="Verdana" w:hAnsi="Verdana" w:cs="Arial"/>
          <w:b/>
          <w:szCs w:val="20"/>
          <w:lang w:val="es-ES_tradnl"/>
        </w:rPr>
        <w:t>Aprendiendo a interpretar cuadros estadísticos</w:t>
      </w:r>
      <w:r>
        <w:rPr>
          <w:rFonts w:ascii="Verdana" w:hAnsi="Verdana" w:cs="Arial"/>
          <w:b/>
          <w:szCs w:val="20"/>
          <w:lang w:val="es-ES_tradnl"/>
        </w:rPr>
        <w:t xml:space="preserve"> </w:t>
      </w:r>
    </w:p>
    <w:p w14:paraId="53FF2047" w14:textId="77777777" w:rsidR="00B14A0C" w:rsidRDefault="00B14A0C" w:rsidP="00793000">
      <w:pPr>
        <w:jc w:val="both"/>
        <w:rPr>
          <w:rFonts w:ascii="Verdana" w:hAnsi="Verdana" w:cs="Arial"/>
          <w:sz w:val="20"/>
          <w:szCs w:val="20"/>
        </w:rPr>
      </w:pPr>
    </w:p>
    <w:p w14:paraId="12C2D217" w14:textId="77777777" w:rsidR="00793000" w:rsidRPr="00E433F2" w:rsidRDefault="00793000" w:rsidP="00793000">
      <w:pPr>
        <w:jc w:val="both"/>
        <w:rPr>
          <w:rFonts w:ascii="Verdana" w:hAnsi="Verdana" w:cs="Arial"/>
          <w:sz w:val="20"/>
          <w:szCs w:val="20"/>
        </w:rPr>
      </w:pPr>
      <w:r w:rsidRPr="00E433F2">
        <w:rPr>
          <w:rFonts w:ascii="Verdana" w:hAnsi="Verdana" w:cs="Arial"/>
          <w:sz w:val="20"/>
          <w:szCs w:val="20"/>
        </w:rPr>
        <w:t>Nombre: __________</w:t>
      </w:r>
      <w:r w:rsidR="00DD55E4" w:rsidRPr="00E433F2">
        <w:rPr>
          <w:rFonts w:ascii="Verdana" w:hAnsi="Verdana" w:cs="Arial"/>
          <w:sz w:val="20"/>
          <w:szCs w:val="20"/>
        </w:rPr>
        <w:t>_______________________________</w:t>
      </w:r>
      <w:r w:rsidR="00A14D6D" w:rsidRPr="00E433F2">
        <w:rPr>
          <w:rFonts w:ascii="Verdana" w:hAnsi="Verdana" w:cs="Arial"/>
          <w:sz w:val="20"/>
          <w:szCs w:val="20"/>
        </w:rPr>
        <w:t xml:space="preserve"> Curso: _______ Fecha:</w:t>
      </w:r>
      <w:r w:rsidRPr="00E433F2">
        <w:rPr>
          <w:rFonts w:ascii="Verdana" w:hAnsi="Verdana" w:cs="Arial"/>
          <w:sz w:val="20"/>
          <w:szCs w:val="20"/>
        </w:rPr>
        <w:t xml:space="preserve"> </w:t>
      </w:r>
      <w:r w:rsidR="00A14D6D" w:rsidRPr="00E433F2">
        <w:rPr>
          <w:rFonts w:ascii="Verdana" w:hAnsi="Verdana" w:cs="Arial"/>
          <w:sz w:val="20"/>
          <w:szCs w:val="20"/>
        </w:rPr>
        <w:t>___________</w:t>
      </w:r>
    </w:p>
    <w:p w14:paraId="570276CC" w14:textId="77777777" w:rsidR="00170457" w:rsidRDefault="008D05FA" w:rsidP="008D05FA">
      <w:pPr>
        <w:jc w:val="both"/>
        <w:rPr>
          <w:rFonts w:ascii="Verdana" w:hAnsi="Verdana" w:cs="Arial"/>
          <w:sz w:val="20"/>
          <w:szCs w:val="20"/>
          <w:lang w:val="es-CL"/>
        </w:rPr>
      </w:pPr>
      <w:r w:rsidRPr="00E433F2">
        <w:rPr>
          <w:rFonts w:ascii="Verdana" w:hAnsi="Verdana" w:cs="Arial"/>
          <w:sz w:val="20"/>
          <w:szCs w:val="20"/>
          <w:lang w:val="es-CL"/>
        </w:rPr>
        <w:t xml:space="preserve"> </w:t>
      </w:r>
    </w:p>
    <w:p w14:paraId="14946407" w14:textId="11697BC1" w:rsidR="007E64DE" w:rsidRDefault="00942F60" w:rsidP="007E64D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s-CL"/>
        </w:rPr>
        <w:t xml:space="preserve">Objetivo: </w:t>
      </w:r>
      <w:r w:rsidR="00B14A0C">
        <w:rPr>
          <w:rFonts w:ascii="Verdana" w:hAnsi="Verdana"/>
          <w:b/>
          <w:sz w:val="20"/>
          <w:szCs w:val="20"/>
        </w:rPr>
        <w:t>Interpretar cuadros estadísticos para comprender procesos históricos.</w:t>
      </w:r>
    </w:p>
    <w:p w14:paraId="06C6EA02" w14:textId="77777777" w:rsidR="00B14A0C" w:rsidRDefault="00B14A0C" w:rsidP="007E64DE">
      <w:pPr>
        <w:jc w:val="both"/>
        <w:rPr>
          <w:rFonts w:ascii="Verdana" w:hAnsi="Verdana"/>
          <w:b/>
          <w:sz w:val="20"/>
          <w:szCs w:val="20"/>
        </w:rPr>
      </w:pPr>
    </w:p>
    <w:p w14:paraId="1947DC28" w14:textId="75634D7B" w:rsidR="00B14A0C" w:rsidRDefault="002F6CA1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58752" behindDoc="0" locked="0" layoutInCell="1" allowOverlap="1" wp14:anchorId="2C463E11" wp14:editId="7718A8A8">
            <wp:simplePos x="0" y="0"/>
            <wp:positionH relativeFrom="column">
              <wp:posOffset>-96189</wp:posOffset>
            </wp:positionH>
            <wp:positionV relativeFrom="paragraph">
              <wp:posOffset>712608</wp:posOffset>
            </wp:positionV>
            <wp:extent cx="6859270" cy="16306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03-18 a la(s) 17.31.5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0BD">
        <w:rPr>
          <w:rFonts w:ascii="Verdana" w:hAnsi="Verdana" w:cs="Arial"/>
          <w:sz w:val="18"/>
          <w:szCs w:val="20"/>
          <w:lang w:val="es-ES_tradnl"/>
        </w:rPr>
        <w:t>1.</w:t>
      </w:r>
      <w:r w:rsidR="00B14A0C" w:rsidRPr="008760BD">
        <w:rPr>
          <w:rFonts w:ascii="Verdana" w:hAnsi="Verdana" w:cs="Arial"/>
          <w:sz w:val="18"/>
          <w:szCs w:val="20"/>
          <w:lang w:val="es-ES_tradnl"/>
        </w:rPr>
        <w:t>Lo primero que debemos reconocer son la estructura y los componentes internos de cada cuadro. Todos deben tener un título, que indique el contenido conceptual que se presentará, con una referencia temporal y espacial. Además, debe exponer las variables, que son las magnitudes o criterios en los que se expresan los datos, la columna matriz, que es generalmente la referencia temporal, y los datos concretos expresados en la medida especificada en el cuerpo de la tabla.</w:t>
      </w:r>
    </w:p>
    <w:p w14:paraId="7DA05FA4" w14:textId="77777777" w:rsidR="002F6CA1" w:rsidRDefault="002F6CA1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74D5B455" w14:textId="5CFC26D8" w:rsidR="00B14A0C" w:rsidRP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4BDFF59E" w14:textId="64AA244C" w:rsidR="000F3630" w:rsidRPr="008760BD" w:rsidRDefault="008760BD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>2.</w:t>
      </w:r>
      <w:r w:rsidR="00B14A0C" w:rsidRPr="008760BD">
        <w:rPr>
          <w:rFonts w:ascii="Verdana" w:hAnsi="Verdana" w:cs="Arial"/>
          <w:sz w:val="18"/>
          <w:szCs w:val="20"/>
          <w:lang w:val="es-ES_tradnl"/>
        </w:rPr>
        <w:t>Una vez reconocidos la estructura y los componentes del cuadro podemos iniciar su exploración, interpretación y análisis. Una primera operación implica la identificación horizontal de datos:</w:t>
      </w:r>
    </w:p>
    <w:p w14:paraId="4562B6B5" w14:textId="094F8E23" w:rsidR="00B14A0C" w:rsidRDefault="008760BD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noProof/>
          <w:sz w:val="20"/>
          <w:szCs w:val="20"/>
          <w:lang w:val="es-ES_tradnl"/>
        </w:rPr>
        <w:drawing>
          <wp:anchor distT="0" distB="0" distL="114300" distR="114300" simplePos="0" relativeHeight="251659776" behindDoc="0" locked="0" layoutInCell="1" allowOverlap="1" wp14:anchorId="384C4C4C" wp14:editId="1A3CF153">
            <wp:simplePos x="0" y="0"/>
            <wp:positionH relativeFrom="column">
              <wp:posOffset>2077196</wp:posOffset>
            </wp:positionH>
            <wp:positionV relativeFrom="paragraph">
              <wp:posOffset>134316</wp:posOffset>
            </wp:positionV>
            <wp:extent cx="4185285" cy="1280160"/>
            <wp:effectExtent l="0" t="0" r="571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8-03-18 a la(s) 17.32.49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815A4" w14:textId="09B89598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14:paraId="357714E3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F43593C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5C34D75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07F423F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D1D1BF7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0C6AB98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0B1D065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0947502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A5977B0" w14:textId="77777777" w:rsidR="00B14A0C" w:rsidRDefault="00B14A0C" w:rsidP="00B14A0C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55169FD" w14:textId="08F4AF62" w:rsidR="00B14A0C" w:rsidRDefault="008760BD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 xml:space="preserve">3.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Una segunda acción corresponde a la comparación de datos. Para realizar esto es necesario identificar las similitudes o diferencias que se producen entre distintos momentos, que</w:t>
      </w:r>
      <w:r w:rsidR="00B14A0C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puede expresarse en mantención, aumento o disminución:</w:t>
      </w:r>
    </w:p>
    <w:p w14:paraId="410A7A92" w14:textId="48764703" w:rsidR="00B14A0C" w:rsidRDefault="008760BD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noProof/>
          <w:sz w:val="18"/>
          <w:szCs w:val="20"/>
          <w:lang w:val="es-ES_tradnl"/>
        </w:rPr>
        <w:drawing>
          <wp:anchor distT="0" distB="0" distL="114300" distR="114300" simplePos="0" relativeHeight="251660800" behindDoc="0" locked="0" layoutInCell="1" allowOverlap="1" wp14:anchorId="0ACF3244" wp14:editId="73AFBA10">
            <wp:simplePos x="0" y="0"/>
            <wp:positionH relativeFrom="column">
              <wp:posOffset>2038653</wp:posOffset>
            </wp:positionH>
            <wp:positionV relativeFrom="paragraph">
              <wp:posOffset>130755</wp:posOffset>
            </wp:positionV>
            <wp:extent cx="4636770" cy="135128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8-03-18 a la(s) 17.35.19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D121F" w14:textId="415A8392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 xml:space="preserve"> </w:t>
      </w:r>
    </w:p>
    <w:p w14:paraId="75C78DF6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1683E2F3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5CA64D55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72F19389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8B5F0EC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6E854D8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A0BA469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6DC4E38A" w14:textId="0D9A8C59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7D06EAD3" w14:textId="77777777" w:rsidR="002F6CA1" w:rsidRDefault="002F6CA1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1D75294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6C901E93" w14:textId="79741797" w:rsidR="00B14A0C" w:rsidRPr="00B14A0C" w:rsidRDefault="008760BD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>4.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Un último paso consiste en realizar inferencias, es decir, generalizaciones o conclusiones</w:t>
      </w:r>
      <w:r w:rsidR="00B14A0C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lógicas a partir de la información presentada. Esto significa que los datos entregados</w:t>
      </w:r>
      <w:r w:rsidR="00B14A0C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pueden servir para apoyar ideas más amplias que las que se pueden desprender del</w:t>
      </w:r>
      <w:r w:rsidR="00B14A0C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mismo cuadro, lo que, a su vez, implica manejar información no explicitada en él. Esta</w:t>
      </w:r>
      <w:r w:rsidR="00B14A0C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puede ser obtenida a partir de la contrastación entre cuadros estadísticos diferentes o</w:t>
      </w:r>
      <w:r w:rsidR="00B14A0C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B14A0C" w:rsidRPr="00B14A0C">
        <w:rPr>
          <w:rFonts w:ascii="Verdana" w:hAnsi="Verdana" w:cs="Arial"/>
          <w:sz w:val="18"/>
          <w:szCs w:val="20"/>
          <w:lang w:val="es-ES_tradnl"/>
        </w:rPr>
        <w:t>con otras fuentes de información.</w:t>
      </w:r>
    </w:p>
    <w:p w14:paraId="0C5F5F4A" w14:textId="18F1A3C9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FD752F9" w14:textId="4EE445C8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 w:rsidRPr="00B14A0C">
        <w:rPr>
          <w:rFonts w:ascii="Verdana" w:hAnsi="Verdana" w:cs="Arial"/>
          <w:sz w:val="18"/>
          <w:szCs w:val="20"/>
          <w:lang w:val="es-ES_tradnl"/>
        </w:rPr>
        <w:t>Ejemplo: ¿Cómo explicar el comportamiento del comercio de cabotaje de productos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agropecuarios al Norte Grande entre 1905 y 1918, al considerar los factores de consumo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e importación de los mismos productos?</w:t>
      </w:r>
    </w:p>
    <w:p w14:paraId="27A86272" w14:textId="35E0800E" w:rsidR="00B14A0C" w:rsidRDefault="000541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noProof/>
          <w:sz w:val="18"/>
          <w:szCs w:val="20"/>
          <w:lang w:val="es-ES_tradnl"/>
        </w:rPr>
        <w:drawing>
          <wp:anchor distT="0" distB="0" distL="114300" distR="114300" simplePos="0" relativeHeight="251661824" behindDoc="0" locked="0" layoutInCell="1" allowOverlap="1" wp14:anchorId="7657BEE9" wp14:editId="304C626E">
            <wp:simplePos x="0" y="0"/>
            <wp:positionH relativeFrom="column">
              <wp:posOffset>1398905</wp:posOffset>
            </wp:positionH>
            <wp:positionV relativeFrom="paragraph">
              <wp:posOffset>45913</wp:posOffset>
            </wp:positionV>
            <wp:extent cx="3768090" cy="1673860"/>
            <wp:effectExtent l="0" t="0" r="3810" b="25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8-03-18 a la(s) 17.36.52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75959" w14:textId="274A62D3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1D588CF" w14:textId="2A46D50C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77EE150F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3AAD292" w14:textId="61A8B54F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4B5CE7A8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462FEFD9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8112D2D" w14:textId="6A0345F3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5FEECEB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1FD3B77C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314157D" w14:textId="1C9F440F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488FC8E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0A3FDF82" w14:textId="0EC921E3" w:rsidR="00525046" w:rsidRDefault="00525046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5DE68704" w14:textId="137EB6EF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 w:rsidRPr="00B14A0C">
        <w:rPr>
          <w:rFonts w:ascii="Verdana" w:hAnsi="Verdana" w:cs="Arial"/>
          <w:sz w:val="18"/>
          <w:szCs w:val="20"/>
          <w:lang w:val="es-ES_tradnl"/>
        </w:rPr>
        <w:lastRenderedPageBreak/>
        <w:t>En la zona salitrera, la cantidad de operarios aumentó de 30 600 en el año 1905 a 57 000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en el año 1918. Esta creciente población, que provenía de múltiples regiones y países,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demandó una considerable cantidad de alimentos, para satisfacer una dieta alimentaria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acorde a la rudeza del trabajo minero realizado. Esto explica que el cabotaje de productos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agropecuarios en la zona del Norte Grande haya tenido un aumento notable entre el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año 1905 y 1913, en que las compras aumentaron a 145,8 millones de pesos. Si bien el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comercio disminuyó hacia 1918 respecto del anteriormente mencionado, esto se debió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fundamentalmente a los desequilibrios provocados por el contexto internacional, por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B14A0C">
        <w:rPr>
          <w:rFonts w:ascii="Verdana" w:hAnsi="Verdana" w:cs="Arial"/>
          <w:sz w:val="18"/>
          <w:szCs w:val="20"/>
          <w:lang w:val="es-ES_tradnl"/>
        </w:rPr>
        <w:t>lo que de todos modos se puede afirmar que la tendencia se mantuvo.</w:t>
      </w:r>
    </w:p>
    <w:p w14:paraId="04EF5157" w14:textId="77777777" w:rsidR="003F57BF" w:rsidRDefault="003F57BF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6C102D87" w14:textId="14B53E56" w:rsidR="003F57BF" w:rsidRDefault="003F57BF" w:rsidP="003F57BF">
      <w:pPr>
        <w:jc w:val="right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>Fuente: Texto del Estudiante Historia, Geografía y Cs. Sociales, 3º medio</w:t>
      </w:r>
    </w:p>
    <w:p w14:paraId="082516CD" w14:textId="1EB943FC" w:rsidR="003F57BF" w:rsidRDefault="003F57BF" w:rsidP="003F57BF">
      <w:pPr>
        <w:jc w:val="right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>Editorial SM, 2017</w:t>
      </w:r>
    </w:p>
    <w:p w14:paraId="1832C7CC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6F2795FA" w14:textId="497FA0E0" w:rsidR="00B14A0C" w:rsidRPr="008760BD" w:rsidRDefault="008760BD" w:rsidP="00B14A0C">
      <w:pPr>
        <w:jc w:val="both"/>
        <w:rPr>
          <w:rFonts w:ascii="Verdana" w:hAnsi="Verdana" w:cs="Arial"/>
          <w:b/>
          <w:sz w:val="18"/>
          <w:szCs w:val="20"/>
          <w:lang w:val="es-ES_tradnl"/>
        </w:rPr>
      </w:pPr>
      <w:r>
        <w:rPr>
          <w:rFonts w:ascii="Verdana" w:hAnsi="Verdana" w:cs="Arial"/>
          <w:b/>
          <w:sz w:val="18"/>
          <w:szCs w:val="20"/>
          <w:lang w:val="es-ES_tradnl"/>
        </w:rPr>
        <w:t>Resumen</w:t>
      </w:r>
    </w:p>
    <w:p w14:paraId="61A8E572" w14:textId="71B320F1" w:rsidR="008760BD" w:rsidRDefault="008760BD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8760BD" w14:paraId="773F44BD" w14:textId="77777777" w:rsidTr="008760BD">
        <w:tc>
          <w:tcPr>
            <w:tcW w:w="2122" w:type="dxa"/>
          </w:tcPr>
          <w:p w14:paraId="117D0711" w14:textId="6F50C266" w:rsidR="008760BD" w:rsidRPr="008760BD" w:rsidRDefault="008760BD" w:rsidP="008760BD">
            <w:pPr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1.</w:t>
            </w:r>
            <w:r w:rsidRPr="008760BD"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Indentificar</w:t>
            </w:r>
          </w:p>
        </w:tc>
        <w:tc>
          <w:tcPr>
            <w:tcW w:w="8668" w:type="dxa"/>
          </w:tcPr>
          <w:p w14:paraId="0484D72B" w14:textId="60E61930" w:rsidR="008760BD" w:rsidRPr="008760BD" w:rsidRDefault="008760BD" w:rsidP="00B14A0C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8760BD">
              <w:rPr>
                <w:rFonts w:ascii="Verdana" w:hAnsi="Verdana" w:cs="Arial"/>
                <w:sz w:val="18"/>
                <w:szCs w:val="20"/>
                <w:lang w:val="es-ES_tradnl"/>
              </w:rPr>
              <w:t>Estructura y componentes del cuadro estadístico</w:t>
            </w:r>
          </w:p>
        </w:tc>
      </w:tr>
      <w:tr w:rsidR="008760BD" w14:paraId="619370A9" w14:textId="77777777" w:rsidTr="008760BD">
        <w:tc>
          <w:tcPr>
            <w:tcW w:w="2122" w:type="dxa"/>
          </w:tcPr>
          <w:p w14:paraId="513D08BC" w14:textId="1EDCD84C" w:rsidR="008760BD" w:rsidRDefault="008760BD" w:rsidP="00B14A0C">
            <w:pPr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2.Interpretar y analizar</w:t>
            </w:r>
          </w:p>
        </w:tc>
        <w:tc>
          <w:tcPr>
            <w:tcW w:w="8668" w:type="dxa"/>
          </w:tcPr>
          <w:p w14:paraId="2D84FABA" w14:textId="4AB37570" w:rsidR="008760BD" w:rsidRPr="008760BD" w:rsidRDefault="008760BD" w:rsidP="00B14A0C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8760BD">
              <w:rPr>
                <w:rFonts w:ascii="Verdana" w:hAnsi="Verdana" w:cs="Arial"/>
                <w:sz w:val="18"/>
                <w:szCs w:val="20"/>
                <w:lang w:val="es-ES_tradnl"/>
              </w:rPr>
              <w:t>Cuadro por cuadro de forma horizontal</w:t>
            </w:r>
          </w:p>
        </w:tc>
      </w:tr>
      <w:tr w:rsidR="008760BD" w14:paraId="39261DFD" w14:textId="77777777" w:rsidTr="008760BD">
        <w:tc>
          <w:tcPr>
            <w:tcW w:w="2122" w:type="dxa"/>
          </w:tcPr>
          <w:p w14:paraId="670CBBB4" w14:textId="76B8DDE9" w:rsidR="008760BD" w:rsidRDefault="008760BD" w:rsidP="00B14A0C">
            <w:pPr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3. Comparar</w:t>
            </w:r>
          </w:p>
        </w:tc>
        <w:tc>
          <w:tcPr>
            <w:tcW w:w="8668" w:type="dxa"/>
          </w:tcPr>
          <w:p w14:paraId="6E89D7BB" w14:textId="2E714F29" w:rsidR="008760BD" w:rsidRPr="008760BD" w:rsidRDefault="008760BD" w:rsidP="00B14A0C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8760BD">
              <w:rPr>
                <w:rFonts w:ascii="Verdana" w:hAnsi="Verdana" w:cs="Arial"/>
                <w:sz w:val="18"/>
                <w:szCs w:val="20"/>
                <w:lang w:val="es-ES_tradnl"/>
              </w:rPr>
              <w:t>Similitudes o diferencias, aumento o disminución, cambio o continuidad, etc.</w:t>
            </w:r>
          </w:p>
        </w:tc>
      </w:tr>
      <w:tr w:rsidR="008760BD" w14:paraId="6CF10280" w14:textId="77777777" w:rsidTr="008760BD">
        <w:tc>
          <w:tcPr>
            <w:tcW w:w="2122" w:type="dxa"/>
          </w:tcPr>
          <w:p w14:paraId="364C266A" w14:textId="2D261D4B" w:rsidR="008760BD" w:rsidRDefault="008760BD" w:rsidP="008760BD">
            <w:pPr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4. Inferir y concluir</w:t>
            </w:r>
          </w:p>
        </w:tc>
        <w:tc>
          <w:tcPr>
            <w:tcW w:w="8668" w:type="dxa"/>
          </w:tcPr>
          <w:p w14:paraId="226A8EB2" w14:textId="0956CAA6" w:rsidR="008760BD" w:rsidRPr="008760BD" w:rsidRDefault="008760BD" w:rsidP="00B14A0C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8760BD">
              <w:rPr>
                <w:rFonts w:ascii="Verdana" w:hAnsi="Verdana" w:cs="Arial"/>
                <w:sz w:val="18"/>
                <w:szCs w:val="20"/>
                <w:lang w:val="es-ES_tradnl"/>
              </w:rPr>
              <w:t>Conclusiones lógicas a partir de la información presentada</w:t>
            </w:r>
          </w:p>
        </w:tc>
      </w:tr>
    </w:tbl>
    <w:p w14:paraId="4CE09FCD" w14:textId="55C6DC1E" w:rsidR="008760BD" w:rsidRDefault="008760BD" w:rsidP="00B14A0C">
      <w:pPr>
        <w:jc w:val="both"/>
        <w:rPr>
          <w:rFonts w:ascii="Verdana" w:hAnsi="Verdana" w:cs="Arial"/>
          <w:b/>
          <w:sz w:val="18"/>
          <w:szCs w:val="20"/>
          <w:lang w:val="es-ES_tradnl"/>
        </w:rPr>
      </w:pPr>
    </w:p>
    <w:p w14:paraId="048430F1" w14:textId="77777777" w:rsidR="002F6CA1" w:rsidRDefault="002F6CA1" w:rsidP="00B14A0C">
      <w:pPr>
        <w:jc w:val="both"/>
        <w:rPr>
          <w:rFonts w:ascii="Verdana" w:hAnsi="Verdana" w:cs="Arial"/>
          <w:b/>
          <w:sz w:val="21"/>
          <w:szCs w:val="20"/>
          <w:lang w:val="es-ES_tradnl"/>
        </w:rPr>
      </w:pPr>
    </w:p>
    <w:p w14:paraId="67FFE259" w14:textId="777FFFC5" w:rsidR="002F6CA1" w:rsidRPr="002F6CA1" w:rsidRDefault="002F6CA1" w:rsidP="00B14A0C">
      <w:pPr>
        <w:jc w:val="both"/>
        <w:rPr>
          <w:rFonts w:ascii="Verdana" w:hAnsi="Verdana" w:cs="Arial"/>
          <w:b/>
          <w:sz w:val="21"/>
          <w:szCs w:val="20"/>
          <w:lang w:val="es-ES_tradnl"/>
        </w:rPr>
      </w:pPr>
      <w:r w:rsidRPr="002F6CA1">
        <w:rPr>
          <w:rFonts w:ascii="Verdana" w:hAnsi="Verdana" w:cs="Arial"/>
          <w:b/>
          <w:sz w:val="21"/>
          <w:szCs w:val="20"/>
          <w:lang w:val="es-ES_tradnl"/>
        </w:rPr>
        <w:t>ACTIVIDAD</w:t>
      </w:r>
    </w:p>
    <w:p w14:paraId="0711A4CE" w14:textId="732ECB7F" w:rsidR="002F6CA1" w:rsidRDefault="002F6CA1" w:rsidP="00B14A0C">
      <w:pPr>
        <w:jc w:val="both"/>
        <w:rPr>
          <w:rFonts w:ascii="Verdana" w:hAnsi="Verdana" w:cs="Arial"/>
          <w:b/>
          <w:sz w:val="18"/>
          <w:szCs w:val="20"/>
          <w:lang w:val="es-ES_tradnl"/>
        </w:rPr>
      </w:pPr>
    </w:p>
    <w:p w14:paraId="541A6747" w14:textId="60E7FA1A" w:rsidR="008760BD" w:rsidRDefault="008760BD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b/>
          <w:sz w:val="18"/>
          <w:szCs w:val="20"/>
          <w:lang w:val="es-ES_tradnl"/>
        </w:rPr>
        <w:t xml:space="preserve">Aplica </w:t>
      </w:r>
      <w:r>
        <w:rPr>
          <w:rFonts w:ascii="Verdana" w:hAnsi="Verdana" w:cs="Arial"/>
          <w:sz w:val="18"/>
          <w:szCs w:val="20"/>
          <w:lang w:val="es-ES_tradnl"/>
        </w:rPr>
        <w:t>lo aprendido b</w:t>
      </w:r>
      <w:r w:rsidR="0005410C">
        <w:rPr>
          <w:rFonts w:ascii="Verdana" w:hAnsi="Verdana" w:cs="Arial"/>
          <w:sz w:val="18"/>
          <w:szCs w:val="20"/>
          <w:lang w:val="es-ES_tradnl"/>
        </w:rPr>
        <w:t>asá</w:t>
      </w:r>
      <w:r>
        <w:rPr>
          <w:rFonts w:ascii="Verdana" w:hAnsi="Verdana" w:cs="Arial"/>
          <w:sz w:val="18"/>
          <w:szCs w:val="20"/>
          <w:lang w:val="es-ES_tradnl"/>
        </w:rPr>
        <w:t>ndote en los cuatro</w:t>
      </w:r>
      <w:bookmarkStart w:id="0" w:name="_GoBack"/>
      <w:bookmarkEnd w:id="0"/>
      <w:r w:rsidR="002F6CA1">
        <w:rPr>
          <w:rFonts w:ascii="Verdana" w:hAnsi="Verdana" w:cs="Arial"/>
          <w:sz w:val="18"/>
          <w:szCs w:val="20"/>
          <w:lang w:val="es-ES_tradnl"/>
        </w:rPr>
        <w:t xml:space="preserve"> </w:t>
      </w:r>
      <w:r>
        <w:rPr>
          <w:rFonts w:ascii="Verdana" w:hAnsi="Verdana" w:cs="Arial"/>
          <w:sz w:val="18"/>
          <w:szCs w:val="20"/>
          <w:lang w:val="es-ES_tradnl"/>
        </w:rPr>
        <w:t>puntos del análisis de cuadros estadísti</w:t>
      </w:r>
      <w:r w:rsidR="0005410C">
        <w:rPr>
          <w:rFonts w:ascii="Verdana" w:hAnsi="Verdana" w:cs="Arial"/>
          <w:sz w:val="18"/>
          <w:szCs w:val="20"/>
          <w:lang w:val="es-ES_tradnl"/>
        </w:rPr>
        <w:t>cos.</w:t>
      </w:r>
    </w:p>
    <w:p w14:paraId="379F353C" w14:textId="235709A4" w:rsidR="0005410C" w:rsidRDefault="000541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71CA14BD" w14:textId="5E3CE347" w:rsidR="0005410C" w:rsidRPr="008760BD" w:rsidRDefault="002F6CA1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  <w:r w:rsidRPr="002F6CA1">
        <w:rPr>
          <w:rFonts w:ascii="Verdana" w:hAnsi="Verdana" w:cs="Arial"/>
          <w:sz w:val="18"/>
          <w:szCs w:val="20"/>
          <w:lang w:val="es-ES_tradnl"/>
        </w:rPr>
        <w:drawing>
          <wp:anchor distT="0" distB="0" distL="114300" distR="114300" simplePos="0" relativeHeight="251662848" behindDoc="0" locked="0" layoutInCell="1" allowOverlap="1" wp14:anchorId="35330B96" wp14:editId="22C71989">
            <wp:simplePos x="0" y="0"/>
            <wp:positionH relativeFrom="column">
              <wp:posOffset>1999174</wp:posOffset>
            </wp:positionH>
            <wp:positionV relativeFrom="paragraph">
              <wp:posOffset>141909</wp:posOffset>
            </wp:positionV>
            <wp:extent cx="2359025" cy="5912485"/>
            <wp:effectExtent l="0" t="0" r="3175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591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71981" w14:textId="284AD1F9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551074C8" w14:textId="6EF40A46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735CF285" w14:textId="4C54BF81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4FD0DEAA" w14:textId="12E30AAA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1AFAED76" w14:textId="60600216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27748935" w14:textId="0BBFEC31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CC078B7" w14:textId="69A46771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EE3E2BE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477E59D5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55490CCE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6E7D1F2A" w14:textId="77777777" w:rsid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5121706A" w14:textId="77777777" w:rsidR="00B14A0C" w:rsidRPr="00B14A0C" w:rsidRDefault="00B14A0C" w:rsidP="00B14A0C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sectPr w:rsidR="00B14A0C" w:rsidRPr="00B14A0C" w:rsidSect="002F6CA1">
      <w:pgSz w:w="12240" w:h="1870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ntiGillSans-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Gill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1D"/>
    <w:multiLevelType w:val="hybridMultilevel"/>
    <w:tmpl w:val="01D6AED2"/>
    <w:lvl w:ilvl="0" w:tplc="621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8CA"/>
    <w:multiLevelType w:val="hybridMultilevel"/>
    <w:tmpl w:val="3E523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58B"/>
    <w:multiLevelType w:val="hybridMultilevel"/>
    <w:tmpl w:val="FDB22EE8"/>
    <w:lvl w:ilvl="0" w:tplc="13924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540"/>
    <w:multiLevelType w:val="hybridMultilevel"/>
    <w:tmpl w:val="4A18E684"/>
    <w:lvl w:ilvl="0" w:tplc="6FA0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8AE"/>
    <w:multiLevelType w:val="hybridMultilevel"/>
    <w:tmpl w:val="E13A1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309"/>
    <w:multiLevelType w:val="hybridMultilevel"/>
    <w:tmpl w:val="003C7F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3613"/>
    <w:multiLevelType w:val="hybridMultilevel"/>
    <w:tmpl w:val="55F4E84E"/>
    <w:lvl w:ilvl="0" w:tplc="C0AE486E">
      <w:start w:val="1"/>
      <w:numFmt w:val="decimal"/>
      <w:lvlText w:val="%1."/>
      <w:lvlJc w:val="left"/>
      <w:pPr>
        <w:ind w:left="720" w:hanging="360"/>
      </w:pPr>
      <w:rPr>
        <w:rFonts w:ascii="SantiGillSans-Light" w:eastAsia="Times New Roman" w:hAnsi="SantiGillSans-Light" w:cs="SantiGillSans-Ligh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1422"/>
    <w:multiLevelType w:val="hybridMultilevel"/>
    <w:tmpl w:val="F3FCC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36C2D"/>
    <w:multiLevelType w:val="hybridMultilevel"/>
    <w:tmpl w:val="286C268E"/>
    <w:lvl w:ilvl="0" w:tplc="D806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B4A"/>
    <w:multiLevelType w:val="hybridMultilevel"/>
    <w:tmpl w:val="1B38945C"/>
    <w:lvl w:ilvl="0" w:tplc="43D6C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21DC8"/>
    <w:multiLevelType w:val="hybridMultilevel"/>
    <w:tmpl w:val="D674C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2883"/>
    <w:multiLevelType w:val="hybridMultilevel"/>
    <w:tmpl w:val="C37ABA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540A"/>
    <w:multiLevelType w:val="hybridMultilevel"/>
    <w:tmpl w:val="C0180C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47590"/>
    <w:multiLevelType w:val="hybridMultilevel"/>
    <w:tmpl w:val="7A929C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05746"/>
    <w:multiLevelType w:val="hybridMultilevel"/>
    <w:tmpl w:val="D722F5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071E2"/>
    <w:multiLevelType w:val="hybridMultilevel"/>
    <w:tmpl w:val="6310E7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97DF6"/>
    <w:multiLevelType w:val="hybridMultilevel"/>
    <w:tmpl w:val="099626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6B1F"/>
    <w:multiLevelType w:val="hybridMultilevel"/>
    <w:tmpl w:val="B6961F68"/>
    <w:lvl w:ilvl="0" w:tplc="8400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17"/>
  </w:num>
  <w:num w:numId="12">
    <w:abstractNumId w:val="9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D2"/>
    <w:rsid w:val="00005803"/>
    <w:rsid w:val="00045F0F"/>
    <w:rsid w:val="0005410C"/>
    <w:rsid w:val="00065DD1"/>
    <w:rsid w:val="000D1875"/>
    <w:rsid w:val="000E015D"/>
    <w:rsid w:val="000F3630"/>
    <w:rsid w:val="000F484B"/>
    <w:rsid w:val="001004CA"/>
    <w:rsid w:val="00117DFF"/>
    <w:rsid w:val="0012517A"/>
    <w:rsid w:val="00131D9D"/>
    <w:rsid w:val="00170457"/>
    <w:rsid w:val="00171258"/>
    <w:rsid w:val="001731AF"/>
    <w:rsid w:val="001D5393"/>
    <w:rsid w:val="00206B80"/>
    <w:rsid w:val="00225F50"/>
    <w:rsid w:val="00244986"/>
    <w:rsid w:val="002528DF"/>
    <w:rsid w:val="00285BAA"/>
    <w:rsid w:val="00296931"/>
    <w:rsid w:val="002D29A4"/>
    <w:rsid w:val="002E4225"/>
    <w:rsid w:val="002F6CA1"/>
    <w:rsid w:val="00323A1C"/>
    <w:rsid w:val="00342587"/>
    <w:rsid w:val="00350155"/>
    <w:rsid w:val="003B01FE"/>
    <w:rsid w:val="003B665C"/>
    <w:rsid w:val="003C3497"/>
    <w:rsid w:val="003D69FE"/>
    <w:rsid w:val="003D6DF8"/>
    <w:rsid w:val="003E083E"/>
    <w:rsid w:val="003F57BF"/>
    <w:rsid w:val="003F7400"/>
    <w:rsid w:val="004A4ABD"/>
    <w:rsid w:val="004B1EBC"/>
    <w:rsid w:val="004B4FBF"/>
    <w:rsid w:val="00510084"/>
    <w:rsid w:val="00525046"/>
    <w:rsid w:val="00527973"/>
    <w:rsid w:val="00535E9E"/>
    <w:rsid w:val="00552B0D"/>
    <w:rsid w:val="00577B01"/>
    <w:rsid w:val="005F47EC"/>
    <w:rsid w:val="00641BD9"/>
    <w:rsid w:val="0064200E"/>
    <w:rsid w:val="006666A8"/>
    <w:rsid w:val="0068195E"/>
    <w:rsid w:val="00682AE7"/>
    <w:rsid w:val="0070616C"/>
    <w:rsid w:val="00711FBA"/>
    <w:rsid w:val="00741DD1"/>
    <w:rsid w:val="00764E3C"/>
    <w:rsid w:val="007718F5"/>
    <w:rsid w:val="007826B1"/>
    <w:rsid w:val="00793000"/>
    <w:rsid w:val="007E64DE"/>
    <w:rsid w:val="008760BD"/>
    <w:rsid w:val="0088430D"/>
    <w:rsid w:val="008B0F6C"/>
    <w:rsid w:val="008D05FA"/>
    <w:rsid w:val="00913A2F"/>
    <w:rsid w:val="00942F60"/>
    <w:rsid w:val="00943384"/>
    <w:rsid w:val="009437C4"/>
    <w:rsid w:val="00950B1A"/>
    <w:rsid w:val="009533B1"/>
    <w:rsid w:val="009B2B1B"/>
    <w:rsid w:val="009B491A"/>
    <w:rsid w:val="009C1CC2"/>
    <w:rsid w:val="009E5B3B"/>
    <w:rsid w:val="009F59A5"/>
    <w:rsid w:val="00A14D6D"/>
    <w:rsid w:val="00A17FD2"/>
    <w:rsid w:val="00B11907"/>
    <w:rsid w:val="00B13D68"/>
    <w:rsid w:val="00B14A0C"/>
    <w:rsid w:val="00B23E24"/>
    <w:rsid w:val="00B24AB4"/>
    <w:rsid w:val="00B32901"/>
    <w:rsid w:val="00B33F95"/>
    <w:rsid w:val="00BB2A47"/>
    <w:rsid w:val="00BB6273"/>
    <w:rsid w:val="00BD61E5"/>
    <w:rsid w:val="00C41B16"/>
    <w:rsid w:val="00C44459"/>
    <w:rsid w:val="00C626A3"/>
    <w:rsid w:val="00CB5446"/>
    <w:rsid w:val="00D57809"/>
    <w:rsid w:val="00D715D5"/>
    <w:rsid w:val="00DC6BD5"/>
    <w:rsid w:val="00DD55E4"/>
    <w:rsid w:val="00E0172F"/>
    <w:rsid w:val="00E02C7F"/>
    <w:rsid w:val="00E12EB6"/>
    <w:rsid w:val="00E2065F"/>
    <w:rsid w:val="00E2474A"/>
    <w:rsid w:val="00E26040"/>
    <w:rsid w:val="00E433F2"/>
    <w:rsid w:val="00E85276"/>
    <w:rsid w:val="00EB1C9E"/>
    <w:rsid w:val="00F60A0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3E75A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72F"/>
    <w:pPr>
      <w:spacing w:before="100" w:beforeAutospacing="1" w:after="100" w:afterAutospacing="1"/>
    </w:pPr>
    <w:rPr>
      <w:lang w:val="es-CL" w:eastAsia="es-CL"/>
    </w:rPr>
  </w:style>
  <w:style w:type="paragraph" w:customStyle="1" w:styleId="Pa7">
    <w:name w:val="Pa7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character" w:customStyle="1" w:styleId="A9">
    <w:name w:val="A9"/>
    <w:uiPriority w:val="99"/>
    <w:rsid w:val="009533B1"/>
    <w:rPr>
      <w:rFonts w:cs="GillSans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Pa11">
    <w:name w:val="Pa11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Cuadrculamedia21">
    <w:name w:val="Cuadrícula media 21"/>
    <w:uiPriority w:val="1"/>
    <w:qFormat/>
    <w:rsid w:val="001731AF"/>
    <w:rPr>
      <w:rFonts w:ascii="Calibri" w:eastAsia="Calibri" w:hAnsi="Calibri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EB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0457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11907"/>
    <w:pPr>
      <w:ind w:left="708"/>
    </w:pPr>
  </w:style>
  <w:style w:type="paragraph" w:styleId="Prrafodelista">
    <w:name w:val="List Paragraph"/>
    <w:basedOn w:val="Normal"/>
    <w:uiPriority w:val="72"/>
    <w:qFormat/>
    <w:rsid w:val="00B1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5BB2-7D1D-B240-A69A-2983D6C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Tarapacá- Orella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Tarapacá- Orella</dc:title>
  <dc:subject/>
  <dc:creator>VAIO</dc:creator>
  <cp:keywords/>
  <dc:description/>
  <cp:lastModifiedBy>Fabiola Angulo Loyola</cp:lastModifiedBy>
  <cp:revision>5</cp:revision>
  <cp:lastPrinted>2013-03-13T01:29:00Z</cp:lastPrinted>
  <dcterms:created xsi:type="dcterms:W3CDTF">2018-03-18T20:44:00Z</dcterms:created>
  <dcterms:modified xsi:type="dcterms:W3CDTF">2019-03-13T02:58:00Z</dcterms:modified>
</cp:coreProperties>
</file>